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036D8BB3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52942">
        <w:rPr>
          <w:bCs/>
          <w:noProof w:val="0"/>
          <w:sz w:val="24"/>
          <w:szCs w:val="24"/>
        </w:rPr>
        <w:t>106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501878" w:rsidRPr="00501878">
        <w:rPr>
          <w:bCs/>
          <w:noProof w:val="0"/>
          <w:sz w:val="24"/>
          <w:szCs w:val="24"/>
        </w:rPr>
        <w:t>1907063</w:t>
      </w:r>
    </w:p>
    <w:p w14:paraId="4D411E96" w14:textId="6990CD12" w:rsidR="00B52942" w:rsidRPr="00465587" w:rsidRDefault="00B52942" w:rsidP="00B52942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094568">
        <w:rPr>
          <w:rFonts w:eastAsia="SimSun"/>
          <w:bCs/>
          <w:sz w:val="24"/>
          <w:szCs w:val="24"/>
          <w:lang w:eastAsia="zh-CN"/>
        </w:rPr>
        <w:t>Reno, USA, 13 – 17 May 2019</w:t>
      </w:r>
      <w:r>
        <w:rPr>
          <w:rFonts w:eastAsia="SimSun"/>
          <w:noProof w:val="0"/>
          <w:sz w:val="24"/>
          <w:szCs w:val="24"/>
          <w:lang w:eastAsia="zh-CN"/>
        </w:rPr>
        <w:tab/>
      </w:r>
      <w:r w:rsidRPr="006849EC">
        <w:rPr>
          <w:rFonts w:eastAsia="SimSun"/>
          <w:i/>
          <w:noProof w:val="0"/>
          <w:sz w:val="24"/>
          <w:szCs w:val="24"/>
          <w:lang w:eastAsia="zh-CN"/>
        </w:rPr>
        <w:t>Revision of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i/>
          <w:noProof w:val="0"/>
          <w:sz w:val="24"/>
          <w:szCs w:val="24"/>
          <w:lang w:eastAsia="zh-CN"/>
        </w:rPr>
        <w:t>R2-1904027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B7631B8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CA6369">
        <w:rPr>
          <w:rFonts w:cs="Arial"/>
          <w:b/>
          <w:bCs/>
          <w:sz w:val="24"/>
        </w:rPr>
        <w:t>Agenda item:</w:t>
      </w:r>
      <w:r w:rsidRPr="00CA6369">
        <w:rPr>
          <w:rFonts w:cs="Arial"/>
          <w:b/>
          <w:bCs/>
          <w:sz w:val="24"/>
        </w:rPr>
        <w:tab/>
      </w:r>
      <w:r w:rsidR="004D1465" w:rsidRPr="00CA6369">
        <w:rPr>
          <w:rFonts w:cs="Arial"/>
          <w:b/>
          <w:bCs/>
          <w:sz w:val="24"/>
          <w:lang w:eastAsia="ja-JP"/>
        </w:rPr>
        <w:t>11.1.</w:t>
      </w:r>
      <w:r w:rsidR="00CA6369" w:rsidRPr="00CA6369">
        <w:rPr>
          <w:rFonts w:cs="Arial"/>
          <w:b/>
          <w:bCs/>
          <w:sz w:val="24"/>
          <w:lang w:eastAsia="ja-JP"/>
        </w:rPr>
        <w:t>4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20BEC37A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D1465">
        <w:rPr>
          <w:rFonts w:ascii="Arial" w:hAnsi="Arial" w:cs="Arial"/>
          <w:b/>
          <w:bCs/>
          <w:sz w:val="24"/>
        </w:rPr>
        <w:t>Flow control in IAB</w:t>
      </w:r>
    </w:p>
    <w:p w14:paraId="1F147C23" w14:textId="6B65C17F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D1465" w:rsidRPr="004D1465">
        <w:rPr>
          <w:rFonts w:ascii="Arial" w:hAnsi="Arial" w:cs="Arial"/>
          <w:b/>
          <w:bCs/>
          <w:sz w:val="24"/>
        </w:rPr>
        <w:t>NR_IAB-Core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- Release 1</w:t>
      </w:r>
      <w:r w:rsidR="004D1465">
        <w:rPr>
          <w:rFonts w:ascii="Arial" w:hAnsi="Arial" w:cs="Arial"/>
          <w:b/>
          <w:bCs/>
          <w:sz w:val="24"/>
        </w:rPr>
        <w:t>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20DF014" w14:textId="13D39656" w:rsidR="00A209D6" w:rsidRDefault="00F7631C" w:rsidP="00A209D6">
      <w:r>
        <w:t xml:space="preserve">This contribution discusses flow control in IAB. The most important objective is identified as preventing </w:t>
      </w:r>
      <w:r w:rsidR="0002441C">
        <w:t xml:space="preserve">congestion-based dropping of </w:t>
      </w:r>
      <w:r>
        <w:t xml:space="preserve">PDCP PDUs, because that </w:t>
      </w:r>
      <w:r w:rsidR="0002441C">
        <w:t xml:space="preserve">comes with an added penalty of </w:t>
      </w:r>
      <w:r w:rsidR="0067518A">
        <w:t>PDCP reordering delays.</w:t>
      </w:r>
    </w:p>
    <w:p w14:paraId="435C7010" w14:textId="1B91508B" w:rsidR="0067518A" w:rsidRPr="006E13D1" w:rsidRDefault="0067518A" w:rsidP="00A209D6">
      <w:r>
        <w:t xml:space="preserve">For </w:t>
      </w:r>
      <w:r w:rsidR="001C709A">
        <w:t xml:space="preserve">downstream </w:t>
      </w:r>
      <w:r>
        <w:t xml:space="preserve">PDCP PDUs, we </w:t>
      </w:r>
      <w:r w:rsidR="00991C22">
        <w:t>point out that the F1-U flow-control feedback, as currently defined, is poorly suited for preventing downlink congestion on a backhaul link, and something additional is needed</w:t>
      </w:r>
      <w:r w:rsidR="00763FD2">
        <w:t>.</w:t>
      </w:r>
    </w:p>
    <w:p w14:paraId="2BBFF540" w14:textId="39C4C883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BF325C">
        <w:t>Discussion</w:t>
      </w:r>
    </w:p>
    <w:p w14:paraId="03A989F8" w14:textId="4295B72E" w:rsidR="00BF325C" w:rsidRDefault="00BF325C" w:rsidP="00BF325C">
      <w:pPr>
        <w:pStyle w:val="Heading2"/>
      </w:pPr>
      <w:r>
        <w:t>2</w:t>
      </w:r>
      <w:r w:rsidRPr="006E13D1">
        <w:t>.1</w:t>
      </w:r>
      <w:r w:rsidRPr="006E13D1">
        <w:tab/>
      </w:r>
      <w:r>
        <w:t>Purpose of flow control</w:t>
      </w:r>
    </w:p>
    <w:p w14:paraId="04A13CC7" w14:textId="38686D41" w:rsidR="00F47EE3" w:rsidRDefault="00F47EE3" w:rsidP="00F47EE3">
      <w:r>
        <w:t>In NR, the PDCP protocol is responsible for providing in-sequence delivery of data to upper layers. To this end, PDCP defines the t-Reordering timer, which defines how long the data-receiving PDCP entity waits for a missing PDCP SDU before giving up and delivering other, higher-numbered SDUs to upper layers.</w:t>
      </w:r>
    </w:p>
    <w:p w14:paraId="193417F4" w14:textId="77AA7424" w:rsidR="00F47EE3" w:rsidRDefault="00F47EE3" w:rsidP="00F47EE3">
      <w:r>
        <w:t xml:space="preserve">The multi-hop nature of IAB means that PDCP needs to be configured </w:t>
      </w:r>
      <w:r w:rsidR="00D26EDB">
        <w:t>to prepare for significant reordering delays, because the ARQ/HARQ delay differences among subsequent PDUs that can be expected on a single radio hop are now multiplied.</w:t>
      </w:r>
    </w:p>
    <w:p w14:paraId="37BC7588" w14:textId="397D81EE" w:rsidR="00D26EDB" w:rsidRDefault="00D26EDB" w:rsidP="00D26EDB">
      <w:pPr>
        <w:ind w:left="1704" w:hanging="1416"/>
      </w:pPr>
      <w:r w:rsidRPr="00D26EDB">
        <w:rPr>
          <w:b/>
        </w:rPr>
        <w:t>Observation 1</w:t>
      </w:r>
      <w:r>
        <w:t>:</w:t>
      </w:r>
      <w:r>
        <w:tab/>
        <w:t>In IAB over multiple hops, PDCP is likely configured to wait for a missing PDU for a substantial amount of time.</w:t>
      </w:r>
    </w:p>
    <w:p w14:paraId="1EEE47FA" w14:textId="3ECAED48" w:rsidR="00D26EDB" w:rsidRDefault="00F91738" w:rsidP="00D26EDB">
      <w:r>
        <w:t xml:space="preserve">To a large extent, TCP flow control works based on congestion-based packet drops. However, </w:t>
      </w:r>
      <w:r w:rsidR="009B6C8C">
        <w:t xml:space="preserve">dropping </w:t>
      </w:r>
      <w:r>
        <w:t xml:space="preserve">of PDCP PDUs </w:t>
      </w:r>
      <w:r w:rsidR="009B6C8C">
        <w:t xml:space="preserve">in particular </w:t>
      </w:r>
      <w:r>
        <w:t>comes with an added penalty of PDCP reordering delay, where data-receiving PDCP entities waste time waiting to receive those dropped PDUs.</w:t>
      </w:r>
    </w:p>
    <w:p w14:paraId="4747D57F" w14:textId="6FB5DF64" w:rsidR="009B6C8C" w:rsidRDefault="009B6C8C" w:rsidP="00D26EDB">
      <w:r>
        <w:t>In IAB, this is what flow control should achieve: PDCP PDUs should not be injected into transit over IAB backhaul links at rates greater than what those links can sustain. Any congestion-based packet dropping should take place outside PDCP connections i.e. radio bearers.</w:t>
      </w:r>
    </w:p>
    <w:p w14:paraId="76C425EE" w14:textId="5E6893E4" w:rsidR="009B6C8C" w:rsidRDefault="009B6C8C" w:rsidP="009B6C8C">
      <w:pPr>
        <w:ind w:left="1704" w:hanging="1416"/>
      </w:pPr>
      <w:r w:rsidRPr="009B6C8C">
        <w:rPr>
          <w:b/>
        </w:rPr>
        <w:t>Observation 2</w:t>
      </w:r>
      <w:r>
        <w:t>:</w:t>
      </w:r>
      <w:r>
        <w:tab/>
      </w:r>
      <w:r w:rsidR="00BD2D3C">
        <w:t>Because of PDCP-reordering delays, c</w:t>
      </w:r>
      <w:r>
        <w:t>ongestion-based dropping of PDCP PDUs should be prevented. This is the task of flow control in IAB.</w:t>
      </w:r>
    </w:p>
    <w:p w14:paraId="3450F1F8" w14:textId="1FC3B2AB" w:rsidR="00BF325C" w:rsidRDefault="00BF325C" w:rsidP="00BF325C">
      <w:pPr>
        <w:pStyle w:val="Heading2"/>
      </w:pPr>
      <w:r>
        <w:t>2</w:t>
      </w:r>
      <w:r w:rsidRPr="006E13D1">
        <w:t>.</w:t>
      </w:r>
      <w:r w:rsidR="00E04C41">
        <w:t>2</w:t>
      </w:r>
      <w:r w:rsidRPr="006E13D1">
        <w:tab/>
      </w:r>
      <w:r w:rsidR="007D1256">
        <w:t xml:space="preserve">Downstream </w:t>
      </w:r>
      <w:r>
        <w:t>PDCP PDUs</w:t>
      </w:r>
    </w:p>
    <w:p w14:paraId="4751EA24" w14:textId="33AAC745" w:rsidR="00BF325C" w:rsidRDefault="001C3968" w:rsidP="00BF325C">
      <w:r>
        <w:t xml:space="preserve">The flow-control feedback currently specified for F1-U is provided from </w:t>
      </w:r>
      <w:r w:rsidR="007B444D">
        <w:t xml:space="preserve">the DU to the CU, in other words, from </w:t>
      </w:r>
      <w:r>
        <w:t>the endpoint of the F1-U GTP-U tunnel</w:t>
      </w:r>
      <w:r w:rsidR="007B444D">
        <w:t xml:space="preserve"> that receives downlink data</w:t>
      </w:r>
      <w:r>
        <w:t xml:space="preserve">, to </w:t>
      </w:r>
      <w:r w:rsidR="007B444D">
        <w:t>the endpoint providing it.</w:t>
      </w:r>
    </w:p>
    <w:p w14:paraId="39AB6919" w14:textId="60EBEBA4" w:rsidR="007B444D" w:rsidRDefault="00FC63C9" w:rsidP="00BF325C">
      <w:r>
        <w:t>In an</w:t>
      </w:r>
      <w:r w:rsidR="007B444D">
        <w:t xml:space="preserve"> IAB</w:t>
      </w:r>
      <w:r>
        <w:t xml:space="preserve"> context</w:t>
      </w:r>
      <w:r w:rsidR="007B444D">
        <w:t xml:space="preserve">, </w:t>
      </w:r>
      <w:r>
        <w:t xml:space="preserve">while this seems sufficient for preventing congestion on access links, the same cannot be said on congestion on backhaul links, where typically F1-U tunnels are only relayed. </w:t>
      </w:r>
      <w:r w:rsidR="006930FF">
        <w:t>Even if the downlink of a backhaul link is severely congested, IAB nodes that terminate the F1-U tunnels congesting that link may have their access-link downlink buffers mostly empty</w:t>
      </w:r>
      <w:r w:rsidR="0091212E">
        <w:t>,</w:t>
      </w:r>
      <w:r w:rsidR="006930FF">
        <w:t xml:space="preserve"> and indicate F1-U feedback encouraging the donor CU-UP for more and more downlink data.</w:t>
      </w:r>
    </w:p>
    <w:p w14:paraId="7FB26D18" w14:textId="31AA0D7C" w:rsidR="003D205D" w:rsidRPr="00BF325C" w:rsidRDefault="003D205D" w:rsidP="00BF325C">
      <w:r>
        <w:tab/>
      </w:r>
      <w:r w:rsidR="001C4AB1" w:rsidRPr="00FA05F5">
        <w:rPr>
          <w:b/>
        </w:rPr>
        <w:t xml:space="preserve">Proposal </w:t>
      </w:r>
      <w:r w:rsidR="00924647">
        <w:rPr>
          <w:b/>
        </w:rPr>
        <w:t>1</w:t>
      </w:r>
      <w:r>
        <w:t>:</w:t>
      </w:r>
      <w:r>
        <w:tab/>
      </w:r>
      <w:r w:rsidR="001C4AB1">
        <w:tab/>
        <w:t xml:space="preserve">Enhancements are considered </w:t>
      </w:r>
      <w:r w:rsidR="0091212E">
        <w:t xml:space="preserve">for </w:t>
      </w:r>
      <w:r w:rsidR="007F288E">
        <w:t>preven</w:t>
      </w:r>
      <w:r w:rsidR="0091212E">
        <w:t>ting downlink congestion on a backhaul link.</w:t>
      </w:r>
    </w:p>
    <w:p w14:paraId="5A43AEE4" w14:textId="0FB8052F" w:rsidR="00CD6948" w:rsidRDefault="00CD6948" w:rsidP="00A209D6">
      <w:r>
        <w:lastRenderedPageBreak/>
        <w:t>Two solution flavours for backhaul-downlink flow control can be identi</w:t>
      </w:r>
      <w:r w:rsidR="00F63B64">
        <w:t>f</w:t>
      </w:r>
      <w:r>
        <w:t>ied.</w:t>
      </w:r>
    </w:p>
    <w:p w14:paraId="6FDD99E1" w14:textId="4764D076" w:rsidR="004B1394" w:rsidRDefault="00CD6948" w:rsidP="00A209D6">
      <w:r w:rsidRPr="00117842">
        <w:rPr>
          <w:b/>
        </w:rPr>
        <w:t>Link-to-source feedback</w:t>
      </w:r>
      <w:r>
        <w:t xml:space="preserve">. This would involve </w:t>
      </w:r>
      <w:r w:rsidR="00231EE0">
        <w:t xml:space="preserve">a direct feedback channel </w:t>
      </w:r>
      <w:r w:rsidR="00705F37">
        <w:t xml:space="preserve">to the donor CU-UP </w:t>
      </w:r>
      <w:r w:rsidR="00231EE0">
        <w:t xml:space="preserve">regarding each backhaul link, where the node scheduling </w:t>
      </w:r>
      <w:r w:rsidR="00705F37">
        <w:t>a backhaul</w:t>
      </w:r>
      <w:r w:rsidR="00231EE0">
        <w:t xml:space="preserve"> link provides flow-control feedback specific to that backhaul link to the donor CU-UP.</w:t>
      </w:r>
      <w:r>
        <w:t xml:space="preserve"> </w:t>
      </w:r>
      <w:r w:rsidR="004B1394">
        <w:t xml:space="preserve">To minimize standardization impact, this could be realized re-using </w:t>
      </w:r>
      <w:r w:rsidR="00BD5C54">
        <w:t xml:space="preserve">the </w:t>
      </w:r>
      <w:r w:rsidR="00705F37">
        <w:t xml:space="preserve">NR user-plane protocol [TS 38.425] and IEs therein such as Desired data rate (with the obvious exception that the IE would no longer have the scope of a single radio bearer). </w:t>
      </w:r>
      <w:r w:rsidR="006A33B5">
        <w:t>For this purpose, a</w:t>
      </w:r>
      <w:r w:rsidR="00FA05F5">
        <w:t xml:space="preserve"> </w:t>
      </w:r>
      <w:r w:rsidR="009B1420">
        <w:t xml:space="preserve">NR user-plane protocol instance </w:t>
      </w:r>
      <w:r w:rsidR="00FA05F5">
        <w:t xml:space="preserve">specific to </w:t>
      </w:r>
      <w:r w:rsidR="006A33B5">
        <w:t>each</w:t>
      </w:r>
      <w:r w:rsidR="00FA05F5">
        <w:t xml:space="preserve"> backhaul link</w:t>
      </w:r>
      <w:r w:rsidR="006A33B5">
        <w:t xml:space="preserve"> </w:t>
      </w:r>
      <w:r w:rsidR="00FA05F5">
        <w:t xml:space="preserve">could be set up </w:t>
      </w:r>
      <w:r w:rsidR="006A33B5">
        <w:t>between the donor CU-UP and the node scheduling the backhaul link</w:t>
      </w:r>
      <w:r w:rsidR="00FA05F5">
        <w:t>.</w:t>
      </w:r>
      <w:r w:rsidR="009B1420" w:rsidRPr="009B1420">
        <w:t xml:space="preserve"> </w:t>
      </w:r>
      <w:r w:rsidR="009B1420">
        <w:t>In practice, this implies setting up a GTP-U tunnel which would be used only for transmitting the GTP-U extension header carrying the NR user plane protocol.</w:t>
      </w:r>
    </w:p>
    <w:p w14:paraId="105A80FF" w14:textId="08EC2294" w:rsidR="00CD6948" w:rsidRDefault="00CD6948" w:rsidP="00A209D6">
      <w:r w:rsidRPr="00117842">
        <w:rPr>
          <w:b/>
        </w:rPr>
        <w:t>Hop-by-hop feedback</w:t>
      </w:r>
      <w:r>
        <w:t xml:space="preserve">. </w:t>
      </w:r>
      <w:r w:rsidR="00FA2C37">
        <w:t xml:space="preserve">This would be more similar to the </w:t>
      </w:r>
      <w:r w:rsidR="00C86EEA">
        <w:t xml:space="preserve">agreed baseline for </w:t>
      </w:r>
      <w:r w:rsidR="00FA2C37">
        <w:t>handling of upstream PDCP PDUs, i.e. IAB nodes would signal to their parents their downlink buffer status</w:t>
      </w:r>
      <w:r w:rsidR="002A7859">
        <w:t xml:space="preserve"> per destination </w:t>
      </w:r>
      <w:r w:rsidR="003B0FE6">
        <w:t>node</w:t>
      </w:r>
      <w:r w:rsidR="00A5498E">
        <w:t xml:space="preserve"> (as also proposed in our other contribution [1])</w:t>
      </w:r>
      <w:r w:rsidR="00C86EEA">
        <w:t xml:space="preserve">, and the donor DU would </w:t>
      </w:r>
      <w:r w:rsidR="00924647">
        <w:t xml:space="preserve">translate that into some </w:t>
      </w:r>
      <w:proofErr w:type="spellStart"/>
      <w:r w:rsidR="00924647">
        <w:t>signaling</w:t>
      </w:r>
      <w:proofErr w:type="spellEnd"/>
      <w:r w:rsidR="00C86EEA">
        <w:t xml:space="preserve"> </w:t>
      </w:r>
      <w:r w:rsidR="00924647">
        <w:t xml:space="preserve">indications </w:t>
      </w:r>
      <w:r w:rsidR="00C86EEA">
        <w:t>to</w:t>
      </w:r>
      <w:r w:rsidR="00924647">
        <w:t>wards</w:t>
      </w:r>
      <w:r w:rsidR="00C86EEA">
        <w:t xml:space="preserve"> the donor CU-UP</w:t>
      </w:r>
      <w:r w:rsidR="00FA2C37">
        <w:t xml:space="preserve">. </w:t>
      </w:r>
      <w:r w:rsidR="00924647">
        <w:t>For example, if in the eventual IAB protocol architecture the currently debated outer (i.e. donor-internal) GTP-U tunnels exist between the donor DU and donor CU-UP, these signalling indications could take the form of the NR-UP flow-control feedback already defined. In this option</w:t>
      </w:r>
      <w:r w:rsidR="00EB1C67">
        <w:t>, buffer build-up from downlink congestion on a backhaul link would be pushed back towards the donor CU-UP, allowing it to slow down its PDCP rates.</w:t>
      </w:r>
    </w:p>
    <w:p w14:paraId="3F6EFAE6" w14:textId="65F741D5" w:rsidR="00D06278" w:rsidRDefault="00D06278" w:rsidP="00117842">
      <w:pPr>
        <w:ind w:left="1704" w:hanging="1416"/>
      </w:pPr>
      <w:r w:rsidRPr="00117842">
        <w:rPr>
          <w:b/>
        </w:rPr>
        <w:t xml:space="preserve">Proposal </w:t>
      </w:r>
      <w:r w:rsidR="00924647">
        <w:rPr>
          <w:b/>
        </w:rPr>
        <w:t>2</w:t>
      </w:r>
      <w:r>
        <w:t>:</w:t>
      </w:r>
      <w:r>
        <w:tab/>
        <w:t xml:space="preserve">A link-to-source or a hop-by-hop feedback mechanism is introduced </w:t>
      </w:r>
      <w:r w:rsidR="00EF413B">
        <w:t>for preventing downlink congestion on a backhaul link.</w:t>
      </w:r>
    </w:p>
    <w:p w14:paraId="5FF2457F" w14:textId="02416F2F" w:rsidR="00A209D6" w:rsidRPr="006E13D1" w:rsidRDefault="00CA10D7" w:rsidP="00A209D6">
      <w:pPr>
        <w:pStyle w:val="Heading1"/>
      </w:pPr>
      <w:r>
        <w:t>3</w:t>
      </w:r>
      <w:r w:rsidR="00A209D6" w:rsidRPr="006E13D1">
        <w:tab/>
      </w:r>
      <w:r w:rsidR="006A33B5">
        <w:t>Conclusion</w:t>
      </w:r>
    </w:p>
    <w:p w14:paraId="60449C3F" w14:textId="6AECB7EE" w:rsidR="00A209D6" w:rsidRPr="006E13D1" w:rsidRDefault="00EA189E" w:rsidP="00A209D6">
      <w:r w:rsidRPr="00117842">
        <w:t>This</w:t>
      </w:r>
      <w:r>
        <w:t xml:space="preserve"> contributi</w:t>
      </w:r>
      <w:r w:rsidR="007E32D6">
        <w:t>o</w:t>
      </w:r>
      <w:bookmarkStart w:id="0" w:name="_GoBack"/>
      <w:bookmarkEnd w:id="0"/>
      <w:r>
        <w:t>n discussed flow control in IAB and concluded with the following.</w:t>
      </w:r>
    </w:p>
    <w:p w14:paraId="3A7E4649" w14:textId="77777777" w:rsidR="00EA189E" w:rsidRDefault="00EA189E" w:rsidP="00EA189E">
      <w:pPr>
        <w:ind w:left="1704" w:hanging="1416"/>
      </w:pPr>
      <w:r w:rsidRPr="00D26EDB">
        <w:rPr>
          <w:b/>
        </w:rPr>
        <w:t>Observation 1</w:t>
      </w:r>
      <w:r>
        <w:t>:</w:t>
      </w:r>
      <w:r>
        <w:tab/>
        <w:t>In IAB over multiple hops, PDCP is likely configured to wait for a missing PDU for a substantial amount of time.</w:t>
      </w:r>
    </w:p>
    <w:p w14:paraId="59ED25D8" w14:textId="77777777" w:rsidR="00EA189E" w:rsidRDefault="00EA189E" w:rsidP="00EA189E">
      <w:pPr>
        <w:ind w:left="1704" w:hanging="1416"/>
      </w:pPr>
      <w:r w:rsidRPr="009B6C8C">
        <w:rPr>
          <w:b/>
        </w:rPr>
        <w:t>Observation 2</w:t>
      </w:r>
      <w:r>
        <w:t>:</w:t>
      </w:r>
      <w:r>
        <w:tab/>
        <w:t>Because of PDCP-reordering delays, congestion-based dropping of PDCP PDUs should be prevented. This is the task of flow control in IAB.</w:t>
      </w:r>
    </w:p>
    <w:p w14:paraId="432B0A82" w14:textId="79D1BEF5" w:rsidR="00A209D6" w:rsidRDefault="00A209D6" w:rsidP="00A209D6"/>
    <w:p w14:paraId="422896DF" w14:textId="380A552C" w:rsidR="00EA189E" w:rsidRPr="00BF325C" w:rsidRDefault="00EA189E" w:rsidP="00EA189E">
      <w:r>
        <w:tab/>
      </w:r>
      <w:r w:rsidRPr="00FA05F5">
        <w:rPr>
          <w:b/>
        </w:rPr>
        <w:t xml:space="preserve">Proposal </w:t>
      </w:r>
      <w:r w:rsidR="00924647">
        <w:rPr>
          <w:b/>
        </w:rPr>
        <w:t>1</w:t>
      </w:r>
      <w:r>
        <w:t>:</w:t>
      </w:r>
      <w:r>
        <w:tab/>
      </w:r>
      <w:r>
        <w:tab/>
        <w:t>Enhancements are considered for preventing downlink congestion on a backhaul link.</w:t>
      </w:r>
    </w:p>
    <w:p w14:paraId="29BEAD3E" w14:textId="7F723F0A" w:rsidR="00EA189E" w:rsidRDefault="00EA189E" w:rsidP="00EA189E">
      <w:pPr>
        <w:ind w:left="1704" w:hanging="1416"/>
      </w:pPr>
      <w:r w:rsidRPr="00093056">
        <w:rPr>
          <w:b/>
        </w:rPr>
        <w:t xml:space="preserve">Proposal </w:t>
      </w:r>
      <w:r w:rsidR="00924647">
        <w:rPr>
          <w:b/>
        </w:rPr>
        <w:t>2</w:t>
      </w:r>
      <w:r>
        <w:t>:</w:t>
      </w:r>
      <w:r>
        <w:tab/>
        <w:t>A link-to-source or a hop-by-hop feedback mechanism is introduced for preventing downlink congestion on a backhaul link.</w:t>
      </w:r>
    </w:p>
    <w:p w14:paraId="477B1E08" w14:textId="34EA0746" w:rsidR="00A5498E" w:rsidRPr="003C341F" w:rsidRDefault="00A5498E" w:rsidP="00A5498E">
      <w:pPr>
        <w:pStyle w:val="Heading1"/>
        <w:ind w:left="432" w:hanging="432"/>
        <w:rPr>
          <w:rFonts w:eastAsia="Malgun Gothic"/>
          <w:lang w:eastAsia="ko-KR"/>
        </w:rPr>
      </w:pPr>
      <w:r>
        <w:t>References</w:t>
      </w:r>
    </w:p>
    <w:p w14:paraId="7E97C7FE" w14:textId="6E63BD99" w:rsidR="00EA189E" w:rsidRPr="00117842" w:rsidRDefault="00A5498E" w:rsidP="00117842">
      <w:pPr>
        <w:overflowPunct w:val="0"/>
        <w:autoSpaceDE w:val="0"/>
        <w:autoSpaceDN w:val="0"/>
        <w:adjustRightInd w:val="0"/>
        <w:ind w:left="400" w:hangingChars="200" w:hanging="400"/>
        <w:textAlignment w:val="baseline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[</w:t>
      </w:r>
      <w:r>
        <w:rPr>
          <w:rFonts w:eastAsia="Malgun Gothic"/>
          <w:lang w:val="en-US" w:eastAsia="ko-KR"/>
        </w:rPr>
        <w:t>1</w:t>
      </w:r>
      <w:r>
        <w:rPr>
          <w:rFonts w:eastAsia="Malgun Gothic" w:hint="eastAsia"/>
          <w:lang w:val="en-US" w:eastAsia="ko-KR"/>
        </w:rPr>
        <w:t>]</w:t>
      </w:r>
      <w:r>
        <w:rPr>
          <w:rFonts w:eastAsia="Malgun Gothic" w:hint="eastAsia"/>
          <w:lang w:val="en-US" w:eastAsia="ko-KR"/>
        </w:rPr>
        <w:tab/>
      </w:r>
      <w:r w:rsidR="00117842" w:rsidRPr="00CA6369">
        <w:rPr>
          <w:rFonts w:eastAsia="Malgun Gothic"/>
          <w:lang w:val="en-US" w:eastAsia="ko-KR"/>
        </w:rPr>
        <w:t>R2-</w:t>
      </w:r>
      <w:r w:rsidR="00501878" w:rsidRPr="00501878">
        <w:rPr>
          <w:rFonts w:eastAsia="Malgun Gothic"/>
          <w:lang w:val="en-US" w:eastAsia="ko-KR"/>
        </w:rPr>
        <w:t>1907064</w:t>
      </w:r>
      <w:r>
        <w:rPr>
          <w:rFonts w:eastAsia="Malgun Gothic" w:hint="eastAsia"/>
          <w:lang w:val="en-US" w:eastAsia="ko-KR"/>
        </w:rPr>
        <w:t xml:space="preserve">, </w:t>
      </w:r>
      <w:proofErr w:type="spellStart"/>
      <w:r w:rsidRPr="00117842">
        <w:rPr>
          <w:rFonts w:eastAsia="Malgun Gothic"/>
          <w:i/>
          <w:lang w:val="en-US" w:eastAsia="ko-KR"/>
        </w:rPr>
        <w:t>Signalling</w:t>
      </w:r>
      <w:proofErr w:type="spellEnd"/>
      <w:r w:rsidRPr="00117842">
        <w:rPr>
          <w:rFonts w:eastAsia="Malgun Gothic"/>
          <w:i/>
          <w:lang w:val="en-US" w:eastAsia="ko-KR"/>
        </w:rPr>
        <w:t xml:space="preserve"> for radio aware scheduling</w:t>
      </w:r>
      <w:r>
        <w:rPr>
          <w:rFonts w:eastAsia="Malgun Gothic"/>
          <w:lang w:val="en-US" w:eastAsia="ko-KR"/>
        </w:rPr>
        <w:t xml:space="preserve">, </w:t>
      </w:r>
      <w:r>
        <w:rPr>
          <w:rFonts w:eastAsia="Malgun Gothic" w:hint="eastAsia"/>
          <w:lang w:val="en-US" w:eastAsia="ko-KR"/>
        </w:rPr>
        <w:t xml:space="preserve"> </w:t>
      </w:r>
      <w:r w:rsidRPr="00A5498E">
        <w:rPr>
          <w:rFonts w:eastAsia="Malgun Gothic"/>
          <w:lang w:val="en-US" w:eastAsia="ko-KR"/>
        </w:rPr>
        <w:t>Nokia, Nokia Shanghai Bell</w:t>
      </w:r>
    </w:p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F373E" w14:textId="77777777" w:rsidR="00501878" w:rsidRDefault="00501878">
      <w:r>
        <w:separator/>
      </w:r>
    </w:p>
  </w:endnote>
  <w:endnote w:type="continuationSeparator" w:id="0">
    <w:p w14:paraId="7C0F8F60" w14:textId="77777777" w:rsidR="00501878" w:rsidRDefault="00501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501878" w:rsidRDefault="005018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501878" w:rsidRDefault="005018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501878" w:rsidRDefault="005018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1CDDA" w14:textId="77777777" w:rsidR="00501878" w:rsidRDefault="00501878">
      <w:r>
        <w:separator/>
      </w:r>
    </w:p>
  </w:footnote>
  <w:footnote w:type="continuationSeparator" w:id="0">
    <w:p w14:paraId="7D2EE74C" w14:textId="77777777" w:rsidR="00501878" w:rsidRDefault="00501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501878" w:rsidRDefault="005018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501878" w:rsidRDefault="005018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501878" w:rsidRDefault="005018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787B"/>
    <w:rsid w:val="0002441C"/>
    <w:rsid w:val="00033397"/>
    <w:rsid w:val="00040095"/>
    <w:rsid w:val="0005241C"/>
    <w:rsid w:val="00073C9C"/>
    <w:rsid w:val="00080512"/>
    <w:rsid w:val="00090468"/>
    <w:rsid w:val="000B7BCF"/>
    <w:rsid w:val="000C522B"/>
    <w:rsid w:val="000D58AB"/>
    <w:rsid w:val="00112F1A"/>
    <w:rsid w:val="00115A03"/>
    <w:rsid w:val="00117842"/>
    <w:rsid w:val="00145075"/>
    <w:rsid w:val="001741A0"/>
    <w:rsid w:val="00175FA0"/>
    <w:rsid w:val="00194CD0"/>
    <w:rsid w:val="001B49C9"/>
    <w:rsid w:val="001C3968"/>
    <w:rsid w:val="001C4AB1"/>
    <w:rsid w:val="001C4F79"/>
    <w:rsid w:val="001C709A"/>
    <w:rsid w:val="001F168B"/>
    <w:rsid w:val="001F7831"/>
    <w:rsid w:val="00204045"/>
    <w:rsid w:val="0020712B"/>
    <w:rsid w:val="0022606D"/>
    <w:rsid w:val="00231728"/>
    <w:rsid w:val="00231EE0"/>
    <w:rsid w:val="002610D8"/>
    <w:rsid w:val="002747EC"/>
    <w:rsid w:val="002855BF"/>
    <w:rsid w:val="002A7859"/>
    <w:rsid w:val="002E7BDE"/>
    <w:rsid w:val="002F0D22"/>
    <w:rsid w:val="003172DC"/>
    <w:rsid w:val="00325AE3"/>
    <w:rsid w:val="00326069"/>
    <w:rsid w:val="0035462D"/>
    <w:rsid w:val="00364B41"/>
    <w:rsid w:val="00383096"/>
    <w:rsid w:val="003A41EF"/>
    <w:rsid w:val="003B0FE6"/>
    <w:rsid w:val="003B40AD"/>
    <w:rsid w:val="003C4E37"/>
    <w:rsid w:val="003D205D"/>
    <w:rsid w:val="003E16BE"/>
    <w:rsid w:val="003F4E28"/>
    <w:rsid w:val="004006E8"/>
    <w:rsid w:val="00401855"/>
    <w:rsid w:val="00465587"/>
    <w:rsid w:val="00477455"/>
    <w:rsid w:val="004A1F7B"/>
    <w:rsid w:val="004B1394"/>
    <w:rsid w:val="004C44D2"/>
    <w:rsid w:val="004D12E5"/>
    <w:rsid w:val="004D1465"/>
    <w:rsid w:val="004D3578"/>
    <w:rsid w:val="004D380D"/>
    <w:rsid w:val="004E213A"/>
    <w:rsid w:val="00501878"/>
    <w:rsid w:val="00503171"/>
    <w:rsid w:val="00506C28"/>
    <w:rsid w:val="00534DA0"/>
    <w:rsid w:val="00543E6C"/>
    <w:rsid w:val="00565087"/>
    <w:rsid w:val="0056573F"/>
    <w:rsid w:val="0061073A"/>
    <w:rsid w:val="00611566"/>
    <w:rsid w:val="00646D99"/>
    <w:rsid w:val="00656910"/>
    <w:rsid w:val="0067518A"/>
    <w:rsid w:val="006849EC"/>
    <w:rsid w:val="006930FF"/>
    <w:rsid w:val="006A33B5"/>
    <w:rsid w:val="006C66D8"/>
    <w:rsid w:val="006D1E24"/>
    <w:rsid w:val="006E1417"/>
    <w:rsid w:val="006F6A2C"/>
    <w:rsid w:val="00705F37"/>
    <w:rsid w:val="00710201"/>
    <w:rsid w:val="0072073A"/>
    <w:rsid w:val="007342B5"/>
    <w:rsid w:val="00734A5B"/>
    <w:rsid w:val="00744E76"/>
    <w:rsid w:val="00757D40"/>
    <w:rsid w:val="00763FD2"/>
    <w:rsid w:val="00781F0F"/>
    <w:rsid w:val="0078727C"/>
    <w:rsid w:val="0079049D"/>
    <w:rsid w:val="00793DC5"/>
    <w:rsid w:val="007B18D8"/>
    <w:rsid w:val="007B444D"/>
    <w:rsid w:val="007C095F"/>
    <w:rsid w:val="007C2DD0"/>
    <w:rsid w:val="007D1256"/>
    <w:rsid w:val="007E32D6"/>
    <w:rsid w:val="007F288E"/>
    <w:rsid w:val="008028A4"/>
    <w:rsid w:val="00813245"/>
    <w:rsid w:val="008204AB"/>
    <w:rsid w:val="00820AC5"/>
    <w:rsid w:val="008768CA"/>
    <w:rsid w:val="00877EF9"/>
    <w:rsid w:val="00880559"/>
    <w:rsid w:val="008B5306"/>
    <w:rsid w:val="008D2E4D"/>
    <w:rsid w:val="008D5099"/>
    <w:rsid w:val="008F396F"/>
    <w:rsid w:val="0090271F"/>
    <w:rsid w:val="00902DB9"/>
    <w:rsid w:val="0090466A"/>
    <w:rsid w:val="0091212E"/>
    <w:rsid w:val="00924647"/>
    <w:rsid w:val="00936071"/>
    <w:rsid w:val="00940212"/>
    <w:rsid w:val="00942EC2"/>
    <w:rsid w:val="00961B32"/>
    <w:rsid w:val="00962509"/>
    <w:rsid w:val="00970DB3"/>
    <w:rsid w:val="00974BB0"/>
    <w:rsid w:val="00991C22"/>
    <w:rsid w:val="009A0AF3"/>
    <w:rsid w:val="009B07CD"/>
    <w:rsid w:val="009B1420"/>
    <w:rsid w:val="009B6C8C"/>
    <w:rsid w:val="009C19E9"/>
    <w:rsid w:val="009D74A6"/>
    <w:rsid w:val="009E3011"/>
    <w:rsid w:val="009F40E2"/>
    <w:rsid w:val="00A10F02"/>
    <w:rsid w:val="00A204CA"/>
    <w:rsid w:val="00A209D6"/>
    <w:rsid w:val="00A53724"/>
    <w:rsid w:val="00A5498E"/>
    <w:rsid w:val="00A54B2B"/>
    <w:rsid w:val="00A82346"/>
    <w:rsid w:val="00A9671C"/>
    <w:rsid w:val="00AA1553"/>
    <w:rsid w:val="00AC0410"/>
    <w:rsid w:val="00B05380"/>
    <w:rsid w:val="00B05962"/>
    <w:rsid w:val="00B15449"/>
    <w:rsid w:val="00B27303"/>
    <w:rsid w:val="00B47FD1"/>
    <w:rsid w:val="00B516BB"/>
    <w:rsid w:val="00B52942"/>
    <w:rsid w:val="00B84DB2"/>
    <w:rsid w:val="00BC3555"/>
    <w:rsid w:val="00BD2D3C"/>
    <w:rsid w:val="00BD5C54"/>
    <w:rsid w:val="00BD5E49"/>
    <w:rsid w:val="00BD6F25"/>
    <w:rsid w:val="00BF325C"/>
    <w:rsid w:val="00C12B51"/>
    <w:rsid w:val="00C135F5"/>
    <w:rsid w:val="00C24650"/>
    <w:rsid w:val="00C25465"/>
    <w:rsid w:val="00C33079"/>
    <w:rsid w:val="00C83A13"/>
    <w:rsid w:val="00C86A0B"/>
    <w:rsid w:val="00C86EEA"/>
    <w:rsid w:val="00C9068C"/>
    <w:rsid w:val="00C92967"/>
    <w:rsid w:val="00CA10D7"/>
    <w:rsid w:val="00CA3D0C"/>
    <w:rsid w:val="00CA6369"/>
    <w:rsid w:val="00CA654B"/>
    <w:rsid w:val="00CB72B8"/>
    <w:rsid w:val="00CD4C7B"/>
    <w:rsid w:val="00CD6948"/>
    <w:rsid w:val="00D06278"/>
    <w:rsid w:val="00D141EC"/>
    <w:rsid w:val="00D26EDB"/>
    <w:rsid w:val="00D33BE3"/>
    <w:rsid w:val="00D3792D"/>
    <w:rsid w:val="00D55E47"/>
    <w:rsid w:val="00D62E19"/>
    <w:rsid w:val="00D67CD1"/>
    <w:rsid w:val="00D738D6"/>
    <w:rsid w:val="00D80795"/>
    <w:rsid w:val="00D854BE"/>
    <w:rsid w:val="00D86CDB"/>
    <w:rsid w:val="00D87E00"/>
    <w:rsid w:val="00D9134D"/>
    <w:rsid w:val="00D96D11"/>
    <w:rsid w:val="00DA7A03"/>
    <w:rsid w:val="00DB0DB8"/>
    <w:rsid w:val="00DB1818"/>
    <w:rsid w:val="00DC309B"/>
    <w:rsid w:val="00DC4DA2"/>
    <w:rsid w:val="00E04C41"/>
    <w:rsid w:val="00E46C08"/>
    <w:rsid w:val="00E471CF"/>
    <w:rsid w:val="00E62835"/>
    <w:rsid w:val="00E77645"/>
    <w:rsid w:val="00E83697"/>
    <w:rsid w:val="00EA189E"/>
    <w:rsid w:val="00EA66C9"/>
    <w:rsid w:val="00EB1C67"/>
    <w:rsid w:val="00EC4A25"/>
    <w:rsid w:val="00EF413B"/>
    <w:rsid w:val="00F025A2"/>
    <w:rsid w:val="00F07388"/>
    <w:rsid w:val="00F2026E"/>
    <w:rsid w:val="00F2210A"/>
    <w:rsid w:val="00F2511F"/>
    <w:rsid w:val="00F37743"/>
    <w:rsid w:val="00F47EE3"/>
    <w:rsid w:val="00F54A3D"/>
    <w:rsid w:val="00F54CB0"/>
    <w:rsid w:val="00F63B64"/>
    <w:rsid w:val="00F653B8"/>
    <w:rsid w:val="00F71B89"/>
    <w:rsid w:val="00F7353C"/>
    <w:rsid w:val="00F7631C"/>
    <w:rsid w:val="00F76F8F"/>
    <w:rsid w:val="00F91738"/>
    <w:rsid w:val="00F941DF"/>
    <w:rsid w:val="00FA05F5"/>
    <w:rsid w:val="00FA1266"/>
    <w:rsid w:val="00FA2C37"/>
    <w:rsid w:val="00FB36FA"/>
    <w:rsid w:val="00FC1192"/>
    <w:rsid w:val="00FC63C9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5AIRPNAIUNRU-859666464-5033</_dlc_DocId>
    <_dlc_DocIdUrl xmlns="71c5aaf6-e6ce-465b-b873-5148d2a4c105">
      <Url>https://nokia.sharepoint.com/sites/c5g/e2earch/_layouts/15/DocIdRedir.aspx?ID=5AIRPNAIUNRU-859666464-5033</Url>
      <Description>5AIRPNAIUNRU-859666464-5033</Description>
    </_dlc_DocIdUrl>
  </documentManagement>
</p:properties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a3840f4f-04be-43d1-b2ef-6ff1382503c7"/>
    <ds:schemaRef ds:uri="http://purl.org/dc/dcmitype/"/>
    <ds:schemaRef ds:uri="http://schemas.microsoft.com/office/infopath/2007/PartnerControls"/>
    <ds:schemaRef ds:uri="3b34c8f0-1ef5-4d1e-bb66-517ce7fe7356"/>
    <ds:schemaRef ds:uri="http://schemas.microsoft.com/office/2006/documentManagement/types"/>
    <ds:schemaRef ds:uri="http://schemas.openxmlformats.org/package/2006/metadata/core-properties"/>
    <ds:schemaRef ds:uri="83f22d2f-d16e-4be6-ad4f-29fa0b067c3c"/>
    <ds:schemaRef ds:uri="71c5aaf6-e6ce-465b-b873-5148d2a4c105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20</TotalTime>
  <Pages>2</Pages>
  <Words>838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5375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Turtinen, Samuli (Nokia - FI/Oulu)</cp:lastModifiedBy>
  <cp:revision>5</cp:revision>
  <dcterms:created xsi:type="dcterms:W3CDTF">2019-04-30T10:55:00Z</dcterms:created>
  <dcterms:modified xsi:type="dcterms:W3CDTF">2019-05-02T18:08:00Z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72016b9c-36eb-45bf-8f06-ec5a2210ed4a</vt:lpwstr>
  </property>
</Properties>
</file>